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第十四届</w:t>
      </w:r>
      <w:r>
        <w:rPr>
          <w:rFonts w:eastAsia="方正小标宋简体"/>
          <w:sz w:val="44"/>
          <w:szCs w:val="44"/>
        </w:rPr>
        <w:t>大学生职业生涯规划大赛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ind w:firstLine="1108" w:firstLineChars="34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108" w:firstLineChars="345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>
      <w:pPr>
        <w:ind w:firstLine="1108" w:firstLineChars="345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2"/>
          <w:szCs w:val="32"/>
        </w:rPr>
        <w:t>学    院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/>
          <w:b/>
          <w:sz w:val="30"/>
          <w:u w:val="single"/>
        </w:rPr>
        <w:t xml:space="preserve">               </w:t>
      </w:r>
      <w:r>
        <w:rPr>
          <w:rFonts w:hint="eastAsia" w:eastAsia="仿宋_GB2312"/>
          <w:b/>
          <w:sz w:val="30"/>
          <w:u w:val="single"/>
          <w:lang w:val="en-US" w:eastAsia="zh-CN"/>
        </w:rPr>
        <w:t xml:space="preserve">  </w:t>
      </w:r>
      <w:r>
        <w:rPr>
          <w:rFonts w:eastAsia="仿宋_GB2312"/>
          <w:b/>
          <w:sz w:val="30"/>
          <w:u w:val="single"/>
        </w:rPr>
        <w:t xml:space="preserve"> </w:t>
      </w:r>
      <w:r>
        <w:rPr>
          <w:rFonts w:hint="eastAsia" w:eastAsia="仿宋_GB2312"/>
          <w:b/>
          <w:sz w:val="30"/>
          <w:u w:val="single"/>
        </w:rPr>
        <w:t xml:space="preserve"> </w:t>
      </w:r>
      <w:r>
        <w:rPr>
          <w:rFonts w:hint="eastAsia" w:eastAsia="仿宋_GB2312"/>
          <w:b/>
          <w:sz w:val="30"/>
          <w:u w:val="single"/>
          <w:lang w:val="en-US" w:eastAsia="zh-CN"/>
        </w:rPr>
        <w:t xml:space="preserve">  </w:t>
      </w:r>
      <w:r>
        <w:rPr>
          <w:rFonts w:hint="eastAsia" w:eastAsia="仿宋_GB2312"/>
          <w:b/>
          <w:sz w:val="30"/>
          <w:u w:val="single"/>
          <w:lang w:eastAsia="zh-CN"/>
        </w:rPr>
        <w:t>（</w:t>
      </w:r>
      <w:r>
        <w:rPr>
          <w:rFonts w:hint="eastAsia" w:eastAsia="仿宋_GB2312"/>
          <w:b/>
          <w:sz w:val="30"/>
          <w:u w:val="single"/>
          <w:lang w:val="en-US" w:eastAsia="zh-CN"/>
        </w:rPr>
        <w:t>盖章</w:t>
      </w:r>
      <w:r>
        <w:rPr>
          <w:rFonts w:hint="eastAsia" w:eastAsia="仿宋_GB2312"/>
          <w:b/>
          <w:sz w:val="30"/>
          <w:u w:val="single"/>
          <w:lang w:eastAsia="zh-CN"/>
        </w:rPr>
        <w:t>）</w:t>
      </w:r>
      <w:r>
        <w:rPr>
          <w:rFonts w:hint="eastAsia" w:eastAsia="仿宋_GB2312"/>
          <w:b/>
          <w:sz w:val="30"/>
          <w:u w:val="single"/>
        </w:rPr>
        <w:t xml:space="preserve"> </w:t>
      </w: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hint="eastAsia"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hint="eastAsia" w:eastAsia="仿宋_GB2312"/>
          <w:b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    明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一、参赛者为在校学生（截止到当年6月30日学籍在册）。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二、《职业生涯规划书》空白表可从大赛官方网站下载。</w:t>
      </w:r>
      <w:r>
        <w:rPr>
          <w:rFonts w:hint="eastAsia" w:eastAsia="仿宋_GB2312"/>
          <w:sz w:val="30"/>
          <w:szCs w:val="30"/>
        </w:rPr>
        <w:t>第二部分</w:t>
      </w:r>
      <w:r>
        <w:rPr>
          <w:rFonts w:eastAsia="仿宋_GB2312"/>
          <w:sz w:val="30"/>
          <w:szCs w:val="30"/>
        </w:rPr>
        <w:t>职业生涯规划书正文不超过5000字，字体为仿宋，四号字。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三、《职业</w:t>
      </w:r>
      <w:r>
        <w:rPr>
          <w:rFonts w:hint="eastAsia" w:eastAsia="仿宋_GB2312"/>
          <w:sz w:val="30"/>
          <w:szCs w:val="30"/>
        </w:rPr>
        <w:t>生涯</w:t>
      </w:r>
      <w:r>
        <w:rPr>
          <w:rFonts w:eastAsia="仿宋_GB2312"/>
          <w:sz w:val="30"/>
          <w:szCs w:val="30"/>
        </w:rPr>
        <w:t>规划书》须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四、《职业生涯规划书》所填内容必须合法、真实、有效。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五、《职业生涯规划书》由各</w:t>
      </w:r>
      <w:r>
        <w:rPr>
          <w:rFonts w:hint="eastAsia" w:eastAsia="仿宋_GB2312"/>
          <w:sz w:val="30"/>
          <w:szCs w:val="30"/>
        </w:rPr>
        <w:t>学院</w:t>
      </w:r>
      <w:r>
        <w:rPr>
          <w:rFonts w:eastAsia="仿宋_GB2312"/>
          <w:sz w:val="30"/>
          <w:szCs w:val="30"/>
        </w:rPr>
        <w:t>统一</w:t>
      </w:r>
      <w:r>
        <w:rPr>
          <w:rFonts w:hint="eastAsia" w:eastAsia="仿宋_GB2312"/>
          <w:sz w:val="30"/>
          <w:szCs w:val="30"/>
        </w:rPr>
        <w:t>报</w:t>
      </w:r>
      <w:r>
        <w:rPr>
          <w:rFonts w:eastAsia="仿宋_GB2312"/>
          <w:sz w:val="30"/>
          <w:szCs w:val="30"/>
        </w:rPr>
        <w:t>送。</w:t>
      </w:r>
    </w:p>
    <w:p>
      <w:pPr>
        <w:ind w:firstLine="56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六、作品务必严格按照《职业生涯规划书》格式和要求报送，格式不规范、超出规定字数等将影响得分。</w:t>
      </w:r>
    </w:p>
    <w:p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>
      <w:pPr>
        <w:spacing w:beforeLines="50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一、职业生涯规划基本信息及职业体验感悟表</w:t>
      </w:r>
    </w:p>
    <w:tbl>
      <w:tblPr>
        <w:tblStyle w:val="4"/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2127"/>
        <w:gridCol w:w="1470"/>
        <w:gridCol w:w="1968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    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    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    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级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目标职业理由（100字内）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共计     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□实践    □ 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职业体验感悟（800字内）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6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职业体验感悟（800字内）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846" w:firstLineChars="1731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二、职业生涯规划书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1、自我认知（主要从优劣势、个人兴趣等方面分析自我，并运用人才测评工具评估）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3、职业决策（详细描述职业目标的选择过程、备选目标，要求职业决策符合外部环境和个人特质，正确运用评估理论和决策模型）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4、计划与路径（个人近、中、长期的发展计划，要求符合逻辑和现实，具有可操作性）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8" w:hRule="atLeast"/>
          <w:jc w:val="center"/>
        </w:trPr>
        <w:tc>
          <w:tcPr>
            <w:tcW w:w="9639" w:type="dxa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5、自我监控（要求科学设定评估方案，并制定调整方案，具有可操作性）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B269D"/>
    <w:rsid w:val="4F4B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2022-04-21T00:36:00Z</dcterms:created>
  <dc:creator>Administrator</dc:creator>
  <cp:lastModifiedBy>Administrator</cp:lastModifiedBy>
  <dcterms:modified xsi:type="dcterms:W3CDTF">2022-04-21T00:38:29Z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